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江阴市公共文化艺术发展中心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1、参与制订公共文化服务体系建设的政策、规划和计划等文件。</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2、开展公共文化艺术及相关领域的政策、理论和实践研究，提供参考和决策咨询服务。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3、推进城乡公共文化服务体系一体建设，完善图书馆、文化馆总分馆体系，加强文献资源体系建设，辅导基层文化艺术业务，鼓励和引导社会力量参与现代公共文化服务体系建设。</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4、提升公共文化服务融合发展程度，加强与旅游、体育等行业的融合发展，强化与机关、学校、企事业单位的合作。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5、加强文艺精品创作，鼓励和扶持创作团队，推动理论研究和学术交流。</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6、收集、整理与研究古籍、地方文献和非物质文化遗产（民族民间艺术），保护与传承优秀传统文化。</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7、策划、组织和实施各级各类群众文化艺术活动，促进交流宣传、对外合作。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8、维护、运营公共文化艺术场馆，建设管理流动服务设施、自助服务设施和其他服务网点，做好免费开放工作。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9、促进公共文化服务数字化，加强科技创新，推动数字图书馆、数字文化馆和公共文化云建设。</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10、落实本单位安全生产主体责任。</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11、完成市文体广电和旅游局交办的其他任务。</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办公室、公共服务科、文艺创作科、资源建设科、培训辅导科、信息技术科、艺术研究科。</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公共文化艺术发展中心围绕局重点工作，坚持以党建为引领，以高质量发展为主线，推动中心各项工作走深走实，奋力完成全年文化高质量考核工作目标。获得多项省级以上荣誉：《多维一体，打造城乡公共阅读“升级版”》项目入选文旅部基层公共阅读服务推广项目名单；《暨阳文脉，润泽全澄》项目获江苏省社科联社科普及项目资助；《地方文献数字资源建设与共享的实践探索——以江阴市公共文化艺术发展中心（图书馆）为例》获评江苏省图书馆学会资源建设与共享专业委员会优秀案例三等奖；获评江苏省联合参考咨询网先进工作单位；选送作品《读江阴》获省文旅厅、省教育厅联合主办的2024年度“水韵江苏·经典诵读”活动优秀作品。</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1.中心日常工作方面。常态化做好安全生产、文明创建、高质量考核等工作，争创全国文明单位；严格落实意识形态工作责任制；完成国有资产清查；做好省公共文化云平台审核，资源上传等工作。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全民阅读推广方面。图书馆全年服务读者超600万人次，图书流通153.5万册次；总馆藏365.24万册，征集江阴人著作159册，地方文献39册，社会赠书186册，家谱199册，读者荐购1000余册次；“滴答借书”手机网借服务接单357次，“艺风微书房”智能借书柜借还图书8899册；开展各类阅读活动325场次，活动参与读者超50万人次；举办“霞行万里共阅山河”2024“阅读马拉松”大赛，共设立34个赛点，近千名读者参与；举办“江图讲座”12场，“澄江史话”地方文化活动20场，“艺风读书会”23场，“读读书”沙龙12期，“种子乐读”少儿活动129场；“国学课堂”开课24场次；新增村级分馆1家、三味书咖1家、艺风微书房5家，形成“1+71”公共图书馆总分馆服务体系，在国乐岛沈鹏介居书院建成特色分馆——中国书法图书馆。</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全民艺术普及方面。文化馆全年服务市民近50多万人次；市民课堂开班480班次，超1万人次参与；江阴中专分馆创排舞蹈《延陵之狮》冲进省级五星工程奖和国家级顶尖舞者比赛；惠民阵地免费开放，服务市民3万余人；开展非遗展览18次，观展18万人次，开展非遗直播6次，播出《暨阳戏台》12期；“澄艺快递”江阴市公共文化服务精准配送771场，服务群众52.6万人次；艺术剧场全年完成演出114场次，服务观众3.5万余人次，其中“艺起来”公益小剧场共完成55场次，直播22场；艺术展厅完成展览10场次，服务约7.2万人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文艺精品创作方面。六大中心创作组开展活动18次；备战第十六届江苏省“五星工程奖”，5件舞台艺术类作品、5件美术书法类作品入围终评；完成第十一届江阴市“芙蓉花奖”的创作和评比工作，并举办巡演、巡展活动。创作本土题材中篇评弹《廿二年来一县令》申报无锡太湖人才项目；启动本土题材大型锡剧《追鱼》的创作。创排优秀歌曲《一群人的故事》《九里河母亲河》《老弄堂》《我的江南》等分别获文旅部、省级荣誉。</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重大文化活动方面。组织策划第二十八届“书香江阴”全民阅读主题活动启动仪式、“品味长江乐游暨阳”第十九届徐霞客国际旅游节开幕式、江阴市群众歌咏比赛暨“我和我的乐队”第五季优秀乐队展演2场、江苏省优秀群众文艺作品巡演（无锡市专场）、“图书馆之夜”市民读者月系列活动；承办“澄情满云山”江阴——灌云优秀美术书法摄影交流展；配合市纪委创排“清风故事会”主题演出，配合市总工会开展2024年江阴青年职工歌手大赛，配合市残联举办原创励志舞台剧《生命的告白》首演，配合霞客湾科学城（功能区）举办“奋进霞客湾共话江阴好”2024年主题阅读推广活动暨“这里就是霞客湾”专场朗诵会。</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江阴市公共文化艺术发展中心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江阴市公共文化艺术发展中心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2,618.76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0.50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2,129.90</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137.81</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350.13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2,618.76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2,618.34</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0.07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0.49</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2,618.83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2,618.83</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2,618.76</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2,618.76</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一般公共服务支出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20129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群众团体事务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2012999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其他群众团体事务支出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0.50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2,130.32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2,130.32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2,129.90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2,129.90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文化活动</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群众文化</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1,764.14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1,764.14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其他文化和旅游支出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360.48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360.48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0.42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0.42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0.42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137.81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137.81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100.91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100.91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67.27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67.27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36.90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36.90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350.13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350.13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350.13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350.13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77.70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77.70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160.86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160.86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111.57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111.57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2,618.34</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1,976.06</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642.28</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一般公共服务支出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20129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群众团体事务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2012999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其他群众团体事务支出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0.50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2,129.89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1,488.12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641.78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2,129.47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1,488.12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641.36</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文化活动</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5.28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群众文化</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1,763.72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1,488.12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275.60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其他文化和旅游支出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360.48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360.48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0.42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0.42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0.42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0.42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137.81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137.81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100.91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100.91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67.27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67.27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36.90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36.90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36.90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350.13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350.13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350.13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350.13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77.70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77.70</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160.86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160.86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111.57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111.57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2,618.76</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0.50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0.50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2,129.90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2,129.90</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137.81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137.81</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350.13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350.13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2,618.76</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2,618.34</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2,618.34</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0.07</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0.49</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0.49</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0.07</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2,618.83</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2,618.83</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2,618.83</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2,618.34</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1,976.06</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642.28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20129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群众团体事务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2012999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其他群众团体事务支出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0.50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0.50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2,129.90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1,488.12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641.78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2,129.48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1,488.12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641.36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文化活动</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5.28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群众文化</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1,763.72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1,488.12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275.60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360.48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360.48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0.42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0.42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0.42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137.81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137.81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100.91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100.91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67.27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67.27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36.90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36.90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36.90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350.13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350.13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350.13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350.13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77.70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77.70</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160.86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160.86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111.57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111.57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1,976.06</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1,889.12</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86.94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1,767.47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1,767.47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158.60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158.60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182.09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182.09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567.74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567.74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268.82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268.82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67.27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67.27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33.64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33.64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31.87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31.87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5.04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77.70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77.70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370.50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370.50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85.85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85.85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7.86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7.86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3.15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0.59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0.59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0.25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2.16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7.92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7.92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47.42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47.42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121.65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121.65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120.49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120.49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2,618.34</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1,976.06</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642.28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20129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群众团体事务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2012999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其他群众团体事务支出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0.50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0.50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2,129.90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1,488.12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641.78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2,129.48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1,488.12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641.36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文化活动</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5.28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群众文化</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1,763.72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1,488.12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275.60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360.48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360.48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0.42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0.42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0.42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137.81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137.81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100.91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100.91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67.27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67.27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36.90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36.90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36.90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350.13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350.13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350.13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350.13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77.70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77.70</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160.86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160.86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111.57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111.57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1,976.06</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1,889.12</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86.94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1,767.47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1,767.47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158.60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158.60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182.09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182.09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567.74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567.74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268.82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268.82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67.27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67.27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33.64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33.64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31.87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31.87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5.04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77.70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77.70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370.50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370.50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85.85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85.85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7.86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7.86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3.15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0.59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0.59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0.25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2.16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7.92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7.92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47.42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47.42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121.65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121.65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120.49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120.49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8.45</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8.10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8.10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0.35</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0.25</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8.45</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8.10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8.10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0.35</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0.25</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5</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4</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41</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3</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7</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江阴市公共文化艺术发展中心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419.30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419.30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2024年度收入、支出决算总计2,618.83万元。与上年相比，收、支总计各增加719.37万元，增长37.87%。其中：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（一）收入决算总计2,618.83万元。包括：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1.本年收入决算合计2,618.76万元。与上年相比，增加719.86万元，增长37.91%，变动原因：本年人员经费、公用经费，专项经费增加。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3.年初结转和结余0.07万元。与上年相比，减少0.49万元，减少87.5%，变动原因：支付代扣代缴的人员经费。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（二）支出决算总计2,618.83万元。包括：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1.本年支出决算合计2,618.34万元。与上年相比，增加718.95万元，增长37.85%，变动原因：本年人员经费、公用经费，专项经费增加。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3.年末结转和结余0.49万元。结转和结余事项：代扣代缴的人员经费。与上年相比，增加0.42万元，增长600%，变动原因：预留支付代扣代缴的人员经费。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2,618.76万元，其中：财政拨款收入2,618.76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2024年度本年支出决算合计2,618.34万元，其中：基本支出1,976.06万元，占75.47%；项目支出642.28万元，占24.53%；上缴上级支出0万元，占0%；经营支出0万元，占0%；对附属单位补助支出0万元，占0%。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2024年度财政拨款收入、支出决算总计2,618.83万元。与上年相比，收、支总计各增加719.37万元，增长37.87%，变动原因：本年人员经费、公用经费，专项经费增加。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2024年度财政拨款支出决算2,618.34万元，占本年支出合计的100%。与2024年度财政拨款支出年初预算1,889.26万元相比，完成年初预算的138.59%。其中：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（一）一般公共服务支出（类）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群众团体事务（款）其他群众团体事务支出（项）。年初预算0万元，支出决算0.5万元，（年初预算数为0万元，无法计算完成比率）决算数与年初预算数的差异原因：本年增加社科普及资助项目经费。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1.文化和旅游（款）文化活动（项）。年初预算0万元，支出决算5.28万元，（年初预算数为0万元，无法计算完成比率）决算数与年初预算数的差异原因：本年增加承办活动保障经费。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2.文化和旅游（款）群众文化（项）。年初预算1,416.51万元，支出决算1,763.72万元，完成年初预算的124.51%。决算数与年初预算数的差异原因：本年人员增加，人员经费、公用经费增加；专项经费增加。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文化和旅游（款）其他文化和旅游支出（项）。年初预算0万元，支出决算360.48万元，（年初预算数为0万元，无法计算完成比率）决算数与年初预算数的差异原因：本年增加江苏省公共文化服务体系建设专项资金、物质文化和非物质文化遗产保护工程及文化发展专项资金等项目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其他文化旅游体育与传媒支出（款）其他文化旅游体育与传媒支出（项）。年初预算0万元，支出决算0.42万元，（年初预算数为0万元，无法计算完成比率）决算数与年初预算数的差异原因：本年增加《今天我是升旗手》省艺术基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1.行政事业单位养老支出（款）机关事业单位基本养老保险缴费支出（项）。年初预算65.67万元，支出决算67.27万元，完成年初预算的102.44%。决算数与年初预算数的差异原因：本年人员增加。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2.行政事业单位养老支出（款）机关事业单位职业年金缴费支出（项）。年初预算32.84万元，支出决算33.64万元，完成年初预算的102.44%。决算数与年初预算数的差异原因：本年人员增加。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3.其他社会保障和就业支出（款）其他社会保障和就业支出（项）。年初预算30.85万元，支出决算36.9万元，完成年初预算的119.61%。决算数与年初预算数的差异原因：本年人员增加。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1.住房改革支出（款）住房公积金（项）。年初预算73.31万元，支出决算77.7万元，完成年初预算的105.99%。决算数与年初预算数的差异原因：本年人员增加。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2.住房改革支出（款）提租补贴（项）。年初预算160.18万元，支出决算160.86万元，完成年初预算的100.42%。决算数与年初预算数的差异原因：本年人员增加。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3.住房改革支出（款）购房补贴（项）。年初预算109.9万元，支出决算111.57万元，完成年初预算的101.52%。决算数与年初预算数的差异原因：本年人员增加。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2024年度财政拨款基本支出决算1,976.06万元，其中：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（一）人员经费1,889.12万元。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工资福利支出、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（二）公用经费86.94万元。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主要包括：办公费、印刷费、邮电费、差旅费、维修（护）费、培训费、公务接待费、劳务费、委托业务费、工会经费、公务用车运行维护费、其他交通费用、其他商品和服务支出、办公设备购置。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2024年度一般公共预算财政拨款支出决算2,618.34万元。与上年相比，增加718.95万元，增长37.85%，变动原因：本年人员经费、公用经费，专项经费增加。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2024年度一般公共预算财政拨款基本支出决算1,976.06万元，其中：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（一）人员经费1,889.12万元。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工资福利支出、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（二）公用经费86.94万元。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主要包括：办公费、印刷费、邮电费、差旅费、维修（护）费、培训费、公务接待费、劳务费、委托业务费、工会经费、公务用车运行维护费、其他交通费用、其他商品和服务支出、办公设备购置。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8.45万元（其中：一般公共预算支出8.45万元；政府性基金预算支出0万元；国有资本经营预算支出0万元）。与上年相比，减少0.54万元，变动原因：厉行节约，公务接待费支出减少。其中，因公出国（境）费支出0万元，占“三公”经费的0%；公务用车购置及运行维护费支出8.1万元，占“三公”经费的95.86%；公务接待费支出0.35万元，占“三公”经费的4.14%。2024年度财政拨款“三公”经费支出预算8.45万元（其中：一般公共预算支出8.45万元；政府性基金预算支出0万元；国有资本经营预算支出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8.1万元（其中：一般公共预算支出8.1万元；政府性基金预算支出0万元；国有资本经营预算支出0万元），支出决算8.1万元（其中：一般公共预算支出8.1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8.1万元。公务用车运行维护费主要用于按规定保留的公务用车的燃料费、维修费、过桥过路费、保险费、安全奖励费用等支出。截至2024年12月31日，使用财政拨款开支的公务用车保有量为5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0.35万元（其中：一般公共预算支出0.35万元；政府性基金预算支出0万元；国有资本经营预算支出0万元），支出决算0.35万元（其中：一般公共预算支出0.35万元；政府性基金预算支出0万元；国有资本经营预算支出0万元），完成调整后预算的100%，决算数与预算数相同。其中：国内公务接待支出0.35万元，接待4批次，41人次，开支内容：学习交流等餐费支出；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0.25万元（其中：一般公共预算支出0.25万元；政府性基金预算支出0万元；国有资本经营预算支出0万元），支出决算0.25万元（其中：一般公共预算支出0.25万元；政府性基金预算支出0万元；国有资本经营预算支出0万元），完成调整后预算的100%，决算数与预算数相同。2024年度全年组织培训3个，组织培训7人次，开支内容：业务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419.3万元，其中：政府采购货物支出419.3万元、政府采购工程支出0万元、政府采购服务支出0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5辆，其中：副部(省)级及以上领导用车0辆、主要领导干部用车0辆、机要通信用车0辆、应急保障用车0辆、执法执勤用车0辆、特种专业技术用车0辆、离退休干部用车0辆、其他用车5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本单位共对上年度已实施完成的4个项目开展了绩效自评价，涉及财政性资金合计229.11万元；本单位共开展1项单位整体支出绩效自评价，涉及财政性资金合计2,618.34万元。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十九、一般公共服务支出(类)群众团体事务(款)其他群众团体事务支出(项)</w:t>
      </w:r>
      <w:r>
        <w:rPr>
          <w:b w:val="on"/>
          <w:rFonts w:ascii="仿宋" w:eastAsia="仿宋" w:hAnsi="仿宋" w:cs="仿宋"/>
          <w:u w:color="auto"/>
        </w:rPr>
        <w:t>：</w:t>
      </w:r>
      <w:r>
        <w:rPr>
          <w:rFonts w:hint="eastAsia" w:ascii="仿宋" w:hAnsi="仿宋" w:eastAsia="仿宋" w:cs="仿宋"/>
        </w:rPr>
        <w:t>反映除上述项目以外其他用于群众团体事务方面的支出。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二十、文化旅游体育与传媒支出(类)文化和旅游(款)文化活动(项)</w:t>
      </w:r>
      <w:r>
        <w:rPr>
          <w:b w:val="on"/>
          <w:rFonts w:ascii="仿宋" w:eastAsia="仿宋" w:hAnsi="仿宋" w:cs="仿宋"/>
          <w:u w:color="auto"/>
        </w:rPr>
        <w:t>：</w:t>
      </w:r>
      <w:r>
        <w:rPr>
          <w:rFonts w:hint="eastAsia" w:ascii="仿宋" w:hAnsi="仿宋" w:eastAsia="仿宋" w:cs="仿宋"/>
        </w:rPr>
        <w:t>反映举办大型文化艺术活动的支出。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二十一、文化旅游体育与传媒支出(类)文化和旅游(款)群众文化(项)</w:t>
      </w:r>
      <w:r>
        <w:rPr>
          <w:b w:val="on"/>
          <w:rFonts w:ascii="仿宋" w:eastAsia="仿宋" w:hAnsi="仿宋" w:cs="仿宋"/>
          <w:u w:color="auto"/>
        </w:rPr>
        <w:t>：</w:t>
      </w:r>
      <w:r>
        <w:rPr>
          <w:rFonts w:hint="eastAsia" w:ascii="仿宋" w:hAnsi="仿宋" w:eastAsia="仿宋" w:cs="仿宋"/>
        </w:rPr>
        <w:t>反映群众文化方面的支出，包括基层文化馆（站）、群众艺术馆支出等。</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二十二、文化旅游体育与传媒支出(类)文化和旅游(款)其他文化和旅游支出(项)</w:t>
      </w:r>
      <w:r>
        <w:rPr>
          <w:b w:val="on"/>
          <w:rFonts w:ascii="仿宋" w:eastAsia="仿宋" w:hAnsi="仿宋" w:cs="仿宋"/>
          <w:u w:color="auto"/>
        </w:rPr>
        <w:t>：</w:t>
      </w:r>
      <w:r>
        <w:rPr>
          <w:rFonts w:hint="eastAsia" w:ascii="仿宋" w:hAnsi="仿宋" w:eastAsia="仿宋" w:cs="仿宋"/>
        </w:rPr>
        <w:t>反映除上述项目以外其他用于文化和旅游方面的支出。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二十三、文化旅游体育与传媒支出(类)其他文化旅游体育与传媒支出(款)其他文化旅游体育与传媒支出(项)</w:t>
      </w:r>
      <w:r>
        <w:rPr>
          <w:b w:val="on"/>
          <w:rFonts w:ascii="仿宋" w:eastAsia="仿宋" w:hAnsi="仿宋" w:cs="仿宋"/>
          <w:u w:color="auto"/>
        </w:rPr>
        <w:t>：</w:t>
      </w:r>
      <w:r>
        <w:rPr>
          <w:rFonts w:hint="eastAsia" w:ascii="仿宋" w:hAnsi="仿宋" w:eastAsia="仿宋" w:cs="仿宋"/>
        </w:rPr>
        <w:t>反映除上述项目以外其他用于文化旅游体育与传媒方面的支出。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二十六、社会保障和就业支出(类)其他社会保障和就业支出(款)其他社会保障和就业支出(项)</w:t>
      </w:r>
      <w:r>
        <w:rPr>
          <w:b w:val="on"/>
          <w:rFonts w:ascii="仿宋" w:eastAsia="仿宋" w:hAnsi="仿宋" w:cs="仿宋"/>
          <w:u w:color="auto"/>
        </w:rPr>
        <w:t>：</w:t>
      </w:r>
      <w:r>
        <w:rPr>
          <w:rFonts w:hint="eastAsia" w:ascii="仿宋" w:hAnsi="仿宋" w:eastAsia="仿宋" w:cs="仿宋"/>
        </w:rPr>
        <w:t>反映除上述项目以外其他用于社会保障和就业方面的支出。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江阴市公共文化艺术发展中心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