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77656">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ascii="Times New Roman" w:hAnsi="Times New Roman" w:eastAsia="方正黑体_GBK"/>
          <w:color w:val="000000"/>
          <w:szCs w:val="32"/>
        </w:rPr>
      </w:pPr>
      <w:bookmarkStart w:id="0" w:name="_GoBack"/>
      <w:bookmarkEnd w:id="0"/>
      <w:r>
        <w:rPr>
          <w:rFonts w:hint="eastAsia" w:ascii="Times New Roman" w:hAnsi="Times New Roman" w:eastAsia="方正黑体_GBK"/>
          <w:color w:val="000000"/>
          <w:szCs w:val="32"/>
        </w:rPr>
        <w:t>附件1</w:t>
      </w:r>
    </w:p>
    <w:p w14:paraId="066E4BE4">
      <w:pPr>
        <w:keepNext w:val="0"/>
        <w:keepLines w:val="0"/>
        <w:pageBreakBefore w:val="0"/>
        <w:widowControl w:val="0"/>
        <w:kinsoku/>
        <w:wordWrap/>
        <w:overflowPunct w:val="0"/>
        <w:topLinePunct w:val="0"/>
        <w:autoSpaceDE/>
        <w:autoSpaceDN/>
        <w:bidi w:val="0"/>
        <w:adjustRightInd/>
        <w:snapToGrid/>
        <w:spacing w:before="292" w:beforeLines="50" w:line="0" w:lineRule="atLeast"/>
        <w:ind w:firstLine="0" w:firstLineChars="0"/>
        <w:jc w:val="center"/>
        <w:textAlignment w:val="auto"/>
        <w:rPr>
          <w:rFonts w:ascii="Times New Roman" w:hAnsi="Times New Roman" w:eastAsia="方正小标宋_GBK"/>
          <w:color w:val="000000"/>
          <w:sz w:val="44"/>
          <w:szCs w:val="44"/>
        </w:rPr>
      </w:pPr>
      <w:r>
        <w:rPr>
          <w:rFonts w:hint="eastAsia" w:ascii="Times New Roman" w:hAnsi="Times New Roman" w:eastAsia="方正小标宋_GBK"/>
          <w:color w:val="000000"/>
          <w:sz w:val="44"/>
          <w:szCs w:val="44"/>
        </w:rPr>
        <w:t>2025年度企业装备提升项目</w:t>
      </w:r>
    </w:p>
    <w:p w14:paraId="6FD6BE5C">
      <w:pPr>
        <w:keepNext w:val="0"/>
        <w:keepLines w:val="0"/>
        <w:pageBreakBefore w:val="0"/>
        <w:widowControl w:val="0"/>
        <w:kinsoku/>
        <w:wordWrap/>
        <w:overflowPunct w:val="0"/>
        <w:topLinePunct w:val="0"/>
        <w:autoSpaceDE/>
        <w:autoSpaceDN/>
        <w:bidi w:val="0"/>
        <w:adjustRightInd/>
        <w:snapToGrid/>
        <w:spacing w:after="292" w:afterLines="50" w:line="0" w:lineRule="atLeast"/>
        <w:ind w:firstLine="0" w:firstLineChars="0"/>
        <w:jc w:val="center"/>
        <w:textAlignment w:val="auto"/>
        <w:rPr>
          <w:rFonts w:ascii="Times New Roman" w:hAnsi="Times New Roman" w:eastAsia="方正小标宋_GBK"/>
          <w:color w:val="000000"/>
          <w:sz w:val="44"/>
          <w:szCs w:val="44"/>
        </w:rPr>
      </w:pPr>
      <w:r>
        <w:rPr>
          <w:rFonts w:hint="eastAsia" w:ascii="Times New Roman" w:hAnsi="Times New Roman" w:eastAsia="方正小标宋_GBK"/>
          <w:color w:val="000000"/>
          <w:sz w:val="44"/>
          <w:szCs w:val="44"/>
        </w:rPr>
        <w:t>重点扶持领域范围</w:t>
      </w:r>
    </w:p>
    <w:tbl>
      <w:tblPr>
        <w:tblStyle w:val="13"/>
        <w:tblW w:w="498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1577"/>
        <w:gridCol w:w="6898"/>
      </w:tblGrid>
      <w:tr w14:paraId="273D58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552" w:type="dxa"/>
            <w:noWrap/>
            <w:vAlign w:val="center"/>
          </w:tcPr>
          <w:p w14:paraId="1F24CA82">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color w:val="000000"/>
                <w:spacing w:val="4"/>
                <w:sz w:val="21"/>
                <w:szCs w:val="21"/>
              </w:rPr>
            </w:pPr>
            <w:r>
              <w:rPr>
                <w:rFonts w:hint="eastAsia" w:ascii="Times New Roman" w:hAnsi="Times New Roman" w:eastAsia="方正黑体_GBK" w:cs="方正黑体_GBK"/>
                <w:color w:val="000000"/>
                <w:spacing w:val="4"/>
                <w:sz w:val="21"/>
                <w:szCs w:val="21"/>
              </w:rPr>
              <w:t>序号</w:t>
            </w:r>
          </w:p>
        </w:tc>
        <w:tc>
          <w:tcPr>
            <w:tcW w:w="1577" w:type="dxa"/>
            <w:noWrap/>
            <w:vAlign w:val="center"/>
          </w:tcPr>
          <w:p w14:paraId="737993B3">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color w:val="000000"/>
                <w:spacing w:val="4"/>
                <w:sz w:val="21"/>
                <w:szCs w:val="21"/>
              </w:rPr>
            </w:pPr>
            <w:r>
              <w:rPr>
                <w:rFonts w:hint="eastAsia" w:ascii="Times New Roman" w:hAnsi="Times New Roman" w:eastAsia="方正黑体_GBK" w:cs="方正黑体_GBK"/>
                <w:color w:val="000000"/>
                <w:spacing w:val="4"/>
                <w:sz w:val="21"/>
                <w:szCs w:val="21"/>
              </w:rPr>
              <w:t>重点领域</w:t>
            </w:r>
          </w:p>
        </w:tc>
        <w:tc>
          <w:tcPr>
            <w:tcW w:w="6898" w:type="dxa"/>
            <w:noWrap/>
            <w:vAlign w:val="center"/>
          </w:tcPr>
          <w:p w14:paraId="0E7BC310">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color w:val="000000"/>
                <w:spacing w:val="4"/>
                <w:sz w:val="21"/>
                <w:szCs w:val="21"/>
              </w:rPr>
            </w:pPr>
            <w:r>
              <w:rPr>
                <w:rFonts w:hint="eastAsia" w:ascii="Times New Roman" w:hAnsi="Times New Roman" w:eastAsia="方正黑体_GBK" w:cs="方正黑体_GBK"/>
                <w:color w:val="000000"/>
                <w:spacing w:val="4"/>
                <w:sz w:val="21"/>
                <w:szCs w:val="21"/>
              </w:rPr>
              <w:t>具体范围</w:t>
            </w:r>
          </w:p>
        </w:tc>
      </w:tr>
      <w:tr w14:paraId="7A218A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552" w:type="dxa"/>
            <w:noWrap/>
            <w:vAlign w:val="center"/>
          </w:tcPr>
          <w:p w14:paraId="15E19779">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sz w:val="21"/>
                <w:szCs w:val="21"/>
                <w:lang w:eastAsia="zh-CN"/>
              </w:rPr>
            </w:pPr>
            <w:r>
              <w:rPr>
                <w:rFonts w:hint="eastAsia" w:ascii="Times New Roman" w:hAnsi="Times New Roman" w:eastAsia="方正楷体_GBK" w:cs="方正楷体_GBK"/>
                <w:color w:val="000000"/>
                <w:spacing w:val="4"/>
                <w:sz w:val="21"/>
                <w:szCs w:val="21"/>
                <w:lang w:val="en-US" w:eastAsia="zh-CN"/>
              </w:rPr>
              <w:t>1</w:t>
            </w:r>
          </w:p>
        </w:tc>
        <w:tc>
          <w:tcPr>
            <w:tcW w:w="1577" w:type="dxa"/>
            <w:noWrap/>
            <w:vAlign w:val="center"/>
          </w:tcPr>
          <w:p w14:paraId="629243D0">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highlight w:val="none"/>
              </w:rPr>
            </w:pPr>
            <w:r>
              <w:rPr>
                <w:rFonts w:hint="eastAsia" w:ascii="Times New Roman" w:hAnsi="Times New Roman" w:eastAsia="方正楷体_GBK" w:cs="方正楷体_GBK"/>
                <w:color w:val="000000"/>
                <w:spacing w:val="4"/>
                <w:sz w:val="21"/>
                <w:szCs w:val="21"/>
                <w:highlight w:val="none"/>
              </w:rPr>
              <w:t>电子信息技术（集成电路、新一代信息网络技术等）</w:t>
            </w:r>
          </w:p>
        </w:tc>
        <w:tc>
          <w:tcPr>
            <w:tcW w:w="6898" w:type="dxa"/>
            <w:noWrap/>
            <w:vAlign w:val="center"/>
          </w:tcPr>
          <w:p w14:paraId="3C162250">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1）集成电路设计、制造、封装、测试，集成电路装备制造。（2）计算机、通信设备、网络设备、电子仪器仪表、电子工业专用设备等电子信息产品及其主要部件制造。（3）智能终端电子产品制造。（4）新型电子元件器件、电子电线电缆、光棒光纤光缆等电子信息基础产品制造。（5）电子元件材料、半导体材料、封装材料等电子信息基础专用材料制造。（6）其他国家鼓励类新一代信息技术产品及其主要部件制造。</w:t>
            </w:r>
          </w:p>
        </w:tc>
      </w:tr>
      <w:tr w14:paraId="745921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552" w:type="dxa"/>
            <w:noWrap/>
            <w:vAlign w:val="center"/>
          </w:tcPr>
          <w:p w14:paraId="0A899614">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sz w:val="21"/>
                <w:szCs w:val="21"/>
                <w:lang w:eastAsia="zh-CN"/>
              </w:rPr>
            </w:pPr>
            <w:r>
              <w:rPr>
                <w:rFonts w:hint="eastAsia" w:ascii="Times New Roman" w:hAnsi="Times New Roman" w:eastAsia="方正楷体_GBK" w:cs="方正楷体_GBK"/>
                <w:color w:val="000000"/>
                <w:spacing w:val="4"/>
                <w:sz w:val="21"/>
                <w:szCs w:val="21"/>
                <w:lang w:val="en-US" w:eastAsia="zh-CN"/>
              </w:rPr>
              <w:t>2</w:t>
            </w:r>
          </w:p>
        </w:tc>
        <w:tc>
          <w:tcPr>
            <w:tcW w:w="1577" w:type="dxa"/>
            <w:noWrap/>
            <w:vAlign w:val="center"/>
          </w:tcPr>
          <w:p w14:paraId="1E8CA786">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新能</w:t>
            </w:r>
            <w:r>
              <w:rPr>
                <w:rFonts w:hint="eastAsia" w:ascii="Times New Roman" w:hAnsi="Times New Roman" w:eastAsia="方正楷体_GBK" w:cs="方正楷体_GBK"/>
                <w:color w:val="000000"/>
                <w:spacing w:val="4"/>
                <w:sz w:val="21"/>
                <w:szCs w:val="21"/>
                <w:highlight w:val="none"/>
              </w:rPr>
              <w:t>源（未来能源）</w:t>
            </w:r>
          </w:p>
        </w:tc>
        <w:tc>
          <w:tcPr>
            <w:tcW w:w="6898" w:type="dxa"/>
            <w:noWrap/>
            <w:vAlign w:val="center"/>
          </w:tcPr>
          <w:p w14:paraId="0A3A3B76">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1）太阳能产业：高性能太阳能光伏电池硅片、电池片及组件，光伏电池辅助材料，光伏发电控制系统及控制器、逆变器等主要配套部件，太阳能热利用、热发电产品制造。（2）风能产业：先进高效的大型风力发电机、发电机组及其控制系统设备，叶片、齿轮、轮毂、主轴、轴承、定转子房等风电机组主要零部件制造。（3）其他新能源产业：高性能锂离子电池及其正负极材料、电解液、隔膜、包装膜等主要材料，储能装置，氢能源、核电技术产业等其他国家鼓励类新能源产品制造。</w:t>
            </w:r>
          </w:p>
        </w:tc>
      </w:tr>
      <w:tr w14:paraId="03CF3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9" w:hRule="atLeast"/>
          <w:jc w:val="center"/>
        </w:trPr>
        <w:tc>
          <w:tcPr>
            <w:tcW w:w="552" w:type="dxa"/>
            <w:noWrap/>
            <w:vAlign w:val="center"/>
          </w:tcPr>
          <w:p w14:paraId="2A631103">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sz w:val="21"/>
                <w:szCs w:val="21"/>
                <w:lang w:eastAsia="zh-CN"/>
              </w:rPr>
            </w:pPr>
            <w:r>
              <w:rPr>
                <w:rFonts w:hint="eastAsia" w:ascii="Times New Roman" w:hAnsi="Times New Roman" w:eastAsia="方正楷体_GBK" w:cs="方正楷体_GBK"/>
                <w:color w:val="000000"/>
                <w:spacing w:val="4"/>
                <w:sz w:val="21"/>
                <w:szCs w:val="21"/>
                <w:lang w:val="en-US" w:eastAsia="zh-CN"/>
              </w:rPr>
              <w:t>3</w:t>
            </w:r>
          </w:p>
        </w:tc>
        <w:tc>
          <w:tcPr>
            <w:tcW w:w="1577" w:type="dxa"/>
            <w:noWrap/>
            <w:vAlign w:val="center"/>
          </w:tcPr>
          <w:p w14:paraId="475BDF13">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高端装备</w:t>
            </w:r>
          </w:p>
        </w:tc>
        <w:tc>
          <w:tcPr>
            <w:tcW w:w="6898" w:type="dxa"/>
            <w:noWrap/>
            <w:vAlign w:val="center"/>
          </w:tcPr>
          <w:p w14:paraId="7B9B36FA">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1）新能源汽车整车，电机、电控等主要系统及其关键零部件，充换电设备制造。（2）特种作业车、运输车、警务车等特种车辆，发动机、底盘、自动变速箱、电控设备等汽车主要系统部件，高档内外饰件等汽车配件制造。（3）大型集装箱船、散货船、油船、邮轮、LNG船、化学品船、工程船等高技术船舶，高端游艇、救助艇、无人艇、军警工作艇等特种船舶，船舶导航通信、动力、甲板机械等设备及船舶舾装件制造。（4）海上作业平台、海洋资源勘探开发、海底电缆铺设等大型海洋工程装备制造。（5）智能机器人、智能仪器仪表、自动化生产线、高端数控机床等智能装备制造。（6）高端成套装备制造：道路、运输、农机、矿山、起重等高端工程机械装备，先进电力、电子、纺织、冶金、化工、包装等行业装备，安全防护和应急救援装备。（7）航空航天、轨道交通、核电等高技术装备及关键零部件制造。（8）大型装备关键铸锻件、高压容器，高端精密液压件、机械零部件，高性能电机、齿轮、轴承、密封件、数控机床刀具等先进装备关键基础零部件制造。</w:t>
            </w:r>
            <w:r>
              <w:rPr>
                <w:rFonts w:hint="eastAsia" w:ascii="Times New Roman" w:hAnsi="Times New Roman" w:eastAsia="方正楷体_GBK" w:cs="方正楷体_GBK"/>
                <w:color w:val="000000"/>
                <w:spacing w:val="4"/>
                <w:sz w:val="21"/>
                <w:szCs w:val="21"/>
                <w:highlight w:val="none"/>
              </w:rPr>
              <w:t>（9）节能环保装备。（10）</w:t>
            </w:r>
            <w:r>
              <w:rPr>
                <w:rFonts w:hint="eastAsia" w:ascii="Times New Roman" w:hAnsi="Times New Roman" w:eastAsia="方正楷体_GBK" w:cs="方正楷体_GBK"/>
                <w:color w:val="000000"/>
                <w:spacing w:val="4"/>
                <w:sz w:val="21"/>
                <w:szCs w:val="21"/>
              </w:rPr>
              <w:t>其他国家鼓励类高端装备及基础零部件制造。</w:t>
            </w:r>
          </w:p>
        </w:tc>
      </w:tr>
      <w:tr w14:paraId="43BE8B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9" w:hRule="atLeast"/>
          <w:jc w:val="center"/>
        </w:trPr>
        <w:tc>
          <w:tcPr>
            <w:tcW w:w="552" w:type="dxa"/>
            <w:noWrap/>
            <w:vAlign w:val="center"/>
          </w:tcPr>
          <w:p w14:paraId="7D4BC697">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sz w:val="21"/>
                <w:szCs w:val="21"/>
                <w:lang w:eastAsia="zh-CN"/>
              </w:rPr>
            </w:pPr>
            <w:r>
              <w:rPr>
                <w:rFonts w:hint="eastAsia" w:ascii="Times New Roman" w:hAnsi="Times New Roman" w:eastAsia="方正楷体_GBK" w:cs="方正楷体_GBK"/>
                <w:color w:val="000000"/>
                <w:spacing w:val="4"/>
                <w:sz w:val="21"/>
                <w:szCs w:val="21"/>
                <w:lang w:val="en-US" w:eastAsia="zh-CN"/>
              </w:rPr>
              <w:t>4</w:t>
            </w:r>
          </w:p>
        </w:tc>
        <w:tc>
          <w:tcPr>
            <w:tcW w:w="1577" w:type="dxa"/>
            <w:noWrap/>
            <w:vAlign w:val="center"/>
          </w:tcPr>
          <w:p w14:paraId="714DCE43">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生物医</w:t>
            </w:r>
            <w:r>
              <w:rPr>
                <w:rFonts w:hint="eastAsia" w:ascii="Times New Roman" w:hAnsi="Times New Roman" w:eastAsia="方正楷体_GBK" w:cs="方正楷体_GBK"/>
                <w:color w:val="000000"/>
                <w:spacing w:val="4"/>
                <w:sz w:val="21"/>
                <w:szCs w:val="21"/>
                <w:highlight w:val="none"/>
              </w:rPr>
              <w:t>药（生命健康）</w:t>
            </w:r>
          </w:p>
        </w:tc>
        <w:tc>
          <w:tcPr>
            <w:tcW w:w="6898" w:type="dxa"/>
            <w:noWrap/>
            <w:vAlign w:val="center"/>
          </w:tcPr>
          <w:p w14:paraId="2CB86E5E">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sz w:val="21"/>
                <w:szCs w:val="21"/>
              </w:rPr>
            </w:pPr>
            <w:r>
              <w:rPr>
                <w:rFonts w:hint="eastAsia" w:ascii="Times New Roman" w:hAnsi="Times New Roman" w:eastAsia="方正楷体_GBK" w:cs="方正楷体_GBK"/>
                <w:color w:val="000000"/>
                <w:spacing w:val="4"/>
                <w:sz w:val="21"/>
                <w:szCs w:val="21"/>
              </w:rPr>
              <w:t>（1）生物医药产业：抗体类药物、基因工程蛋白质药物、各类疫苗、细胞治疗产品和基因治疗药物等生物技术药物，医疗检测、诊断试剂，重大疾病治疗化学新药、高质量仿制药等化学药品制造，现代中药配方颗粒、胶囊等中药和保健品制造。（2）医疗器械产业：先进医疗设备及器械、家庭保健康复器械等各类医疗设备器械，及其零部件、耗材，医用检查检验仪器、生物医用材料制造。（3）其他国家鼓励类医药产品、医疗设备器械、医用新材料及耗材制造。</w:t>
            </w:r>
          </w:p>
        </w:tc>
      </w:tr>
      <w:tr w14:paraId="1E88F8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552" w:type="dxa"/>
            <w:shd w:val="clear" w:color="auto" w:fill="auto"/>
            <w:noWrap/>
            <w:vAlign w:val="center"/>
          </w:tcPr>
          <w:p w14:paraId="46B0DF33">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lang w:val="en-US" w:eastAsia="zh-CN"/>
              </w:rPr>
              <w:t>5</w:t>
            </w:r>
          </w:p>
        </w:tc>
        <w:tc>
          <w:tcPr>
            <w:tcW w:w="1577" w:type="dxa"/>
            <w:shd w:val="clear" w:color="auto" w:fill="auto"/>
            <w:noWrap/>
            <w:vAlign w:val="center"/>
          </w:tcPr>
          <w:p w14:paraId="02B4AE76">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rPr>
              <w:t>高端纺织服装</w:t>
            </w:r>
          </w:p>
        </w:tc>
        <w:tc>
          <w:tcPr>
            <w:tcW w:w="6898" w:type="dxa"/>
            <w:shd w:val="clear" w:color="auto" w:fill="auto"/>
            <w:noWrap/>
            <w:vAlign w:val="center"/>
          </w:tcPr>
          <w:p w14:paraId="49783526">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rPr>
              <w:t>（1）高端品牌服装、服装饰品、家纺制品生产制造。（2）采用先进染整清洁生产技术或功能性整理技术生产的各类高档纺织面料。（3）采用先进技术设备生产的各类高品质纱线。（4）功能性差别化聚酯纤维、锦纶、氨纶、PBT高弹纤维等各类高性能纤维生产制造。（5）采用多种工艺复合、长效整理等新技术生产的功能性产业用纺织品。（6）其他国家鼓励类纺织服装产品制造。</w:t>
            </w:r>
          </w:p>
        </w:tc>
      </w:tr>
      <w:tr w14:paraId="756BCA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4" w:hRule="atLeast"/>
          <w:jc w:val="center"/>
        </w:trPr>
        <w:tc>
          <w:tcPr>
            <w:tcW w:w="0" w:type="auto"/>
            <w:shd w:val="clear" w:color="auto" w:fill="auto"/>
            <w:vAlign w:val="center"/>
          </w:tcPr>
          <w:p w14:paraId="18BB8BFB">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lang w:val="en-US" w:eastAsia="zh-CN"/>
              </w:rPr>
              <w:t>6</w:t>
            </w:r>
          </w:p>
        </w:tc>
        <w:tc>
          <w:tcPr>
            <w:tcW w:w="0" w:type="auto"/>
            <w:shd w:val="clear" w:color="auto" w:fill="auto"/>
            <w:vAlign w:val="center"/>
          </w:tcPr>
          <w:p w14:paraId="0D32A4C6">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rPr>
              <w:t>金属新材料</w:t>
            </w:r>
          </w:p>
        </w:tc>
        <w:tc>
          <w:tcPr>
            <w:tcW w:w="0" w:type="auto"/>
            <w:shd w:val="clear" w:color="auto" w:fill="auto"/>
            <w:vAlign w:val="center"/>
          </w:tcPr>
          <w:p w14:paraId="10A00C27">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rPr>
              <w:t>（1）先进钢铁材料及制品制造：高性能轴承用钢、齿轮用钢、弹簧钢、轨道交通用钢、汽车用钢、海洋工程用钢、线材制品用钢、电机用硅钢、工模具钢等特钢材料，耐腐蚀耐压耐温核电管、锅炉管、油井管等高性能钢管，先进钢铁材料铸锻件，优质焊接材料、高性能丝绳索制品、高性能金属密封材料、高品质不锈钢制品。（2）先进有色金属新材料及制品制造：高性能铜（铝）及合金材料和制品，高强韧铝合金、钛合金、镁合金等轻质材料</w:t>
            </w:r>
            <w:r>
              <w:rPr>
                <w:rFonts w:hint="eastAsia" w:ascii="Times New Roman" w:hAnsi="Times New Roman" w:eastAsia="方正楷体_GBK" w:cs="方正楷体_GBK"/>
                <w:color w:val="000000"/>
                <w:spacing w:val="4"/>
                <w:sz w:val="21"/>
                <w:szCs w:val="21"/>
                <w:lang w:eastAsia="zh-CN"/>
              </w:rPr>
              <w:t>。</w:t>
            </w:r>
            <w:r>
              <w:rPr>
                <w:rFonts w:hint="eastAsia" w:ascii="Times New Roman" w:hAnsi="Times New Roman" w:eastAsia="方正楷体_GBK" w:cs="方正楷体_GBK"/>
                <w:color w:val="000000"/>
                <w:spacing w:val="4"/>
                <w:sz w:val="21"/>
                <w:szCs w:val="21"/>
              </w:rPr>
              <w:t>（3）其他金属功能新材料及制品制造：用于航空航天、核工业、医疗等领域高性能合金材料，高端金属粉末材料，高品质稀土材料、合金材料、特种陶瓷材料等。</w:t>
            </w:r>
          </w:p>
        </w:tc>
      </w:tr>
      <w:tr w14:paraId="77D0B9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5" w:hRule="atLeast"/>
          <w:jc w:val="center"/>
        </w:trPr>
        <w:tc>
          <w:tcPr>
            <w:tcW w:w="0" w:type="auto"/>
            <w:shd w:val="clear" w:color="auto" w:fill="auto"/>
            <w:vAlign w:val="center"/>
          </w:tcPr>
          <w:p w14:paraId="268A35CE">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lang w:val="en-US" w:eastAsia="zh-CN"/>
              </w:rPr>
              <w:t>7</w:t>
            </w:r>
          </w:p>
        </w:tc>
        <w:tc>
          <w:tcPr>
            <w:tcW w:w="0" w:type="auto"/>
            <w:shd w:val="clear" w:color="auto" w:fill="auto"/>
            <w:vAlign w:val="center"/>
          </w:tcPr>
          <w:p w14:paraId="028D1CAB">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rPr>
              <w:t>石化新材料</w:t>
            </w:r>
          </w:p>
        </w:tc>
        <w:tc>
          <w:tcPr>
            <w:tcW w:w="0" w:type="auto"/>
            <w:shd w:val="clear" w:color="auto" w:fill="auto"/>
            <w:vAlign w:val="center"/>
          </w:tcPr>
          <w:p w14:paraId="327EF51B">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both"/>
              <w:textAlignment w:val="auto"/>
              <w:rPr>
                <w:rFonts w:hint="eastAsia" w:ascii="Times New Roman" w:hAnsi="Times New Roman" w:eastAsia="方正楷体_GBK" w:cs="方正楷体_GBK"/>
                <w:color w:val="000000"/>
                <w:spacing w:val="4"/>
                <w:kern w:val="2"/>
                <w:sz w:val="21"/>
                <w:szCs w:val="21"/>
                <w:lang w:val="en-US" w:eastAsia="zh-CN" w:bidi="ar-SA"/>
              </w:rPr>
            </w:pPr>
            <w:r>
              <w:rPr>
                <w:rFonts w:hint="eastAsia" w:ascii="Times New Roman" w:hAnsi="Times New Roman" w:eastAsia="方正楷体_GBK" w:cs="方正楷体_GBK"/>
                <w:color w:val="000000"/>
                <w:spacing w:val="4"/>
                <w:sz w:val="21"/>
                <w:szCs w:val="21"/>
              </w:rPr>
              <w:t>（1）差别化功能性聚酯PET、新型聚酯和合成树脂材料制造。（2）高性能工程塑料、高品质合成橡胶、高分子复合材料等功能性高分子材料及制品制造。（3）功能性新材料制造：高性能涂料，功能性膜材料，特种橡胶材料，高性能包装材料，高端光学膜材料。（4）石墨烯、纳米材料、碳纤维材料、3D打印材料等前沿新材料及制品制造。（5）新型高效、环保催化剂和助剂，超净高纯试剂、光刻胶、高性能液晶材料等新型精细化学品制造。（6）其他列入国家强基工程、新材料产业发展目录的关键基础材料制造。</w:t>
            </w:r>
          </w:p>
        </w:tc>
      </w:tr>
    </w:tbl>
    <w:p w14:paraId="4785C19F">
      <w:pPr>
        <w:keepNext w:val="0"/>
        <w:keepLines w:val="0"/>
        <w:pageBreakBefore w:val="0"/>
        <w:widowControl w:val="0"/>
        <w:kinsoku/>
        <w:wordWrap/>
        <w:overflowPunct w:val="0"/>
        <w:topLinePunct w:val="0"/>
        <w:autoSpaceDE/>
        <w:autoSpaceDN/>
        <w:bidi w:val="0"/>
        <w:adjustRightInd/>
        <w:snapToGrid/>
        <w:spacing w:beforeLines="30" w:line="0" w:lineRule="atLeast"/>
        <w:ind w:left="559" w:leftChars="0" w:hanging="559" w:hangingChars="271"/>
        <w:textAlignment w:val="auto"/>
        <w:rPr>
          <w:rFonts w:ascii="Times New Roman" w:hAnsi="Times New Roman" w:eastAsia="方正楷体_GBK"/>
          <w:color w:val="000000"/>
          <w:sz w:val="21"/>
          <w:szCs w:val="21"/>
        </w:rPr>
      </w:pPr>
      <w:r>
        <w:rPr>
          <w:rFonts w:hint="eastAsia" w:ascii="Times New Roman" w:hAnsi="Times New Roman" w:eastAsia="方正楷体_GBK"/>
          <w:color w:val="000000"/>
          <w:sz w:val="21"/>
          <w:szCs w:val="21"/>
        </w:rPr>
        <w:t>备注：其他未列入以上范围的</w:t>
      </w:r>
      <w:r>
        <w:rPr>
          <w:rFonts w:hint="eastAsia" w:ascii="Times New Roman" w:hAnsi="Times New Roman" w:eastAsia="方正楷体_GBK"/>
          <w:color w:val="000000"/>
          <w:sz w:val="21"/>
          <w:szCs w:val="21"/>
          <w:lang w:eastAsia="zh-CN"/>
        </w:rPr>
        <w:t>战新</w:t>
      </w:r>
      <w:r>
        <w:rPr>
          <w:rFonts w:hint="eastAsia" w:ascii="Times New Roman" w:hAnsi="Times New Roman" w:eastAsia="方正楷体_GBK"/>
          <w:color w:val="000000"/>
          <w:sz w:val="21"/>
          <w:szCs w:val="21"/>
        </w:rPr>
        <w:t>产业领域项目，可参照国家统计局《战略性新兴产业分类（2018）》《江苏省太湖流域战略性新兴产业类别目录（2018年本）》等文件评审认定。</w:t>
      </w:r>
    </w:p>
    <w:p w14:paraId="2C4AC6C9">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left"/>
        <w:textAlignment w:val="auto"/>
        <w:rPr>
          <w:rFonts w:ascii="Times New Roman" w:hAnsi="Times New Roman" w:eastAsia="方正黑体_GBK"/>
          <w:color w:val="000000"/>
          <w:szCs w:val="32"/>
        </w:rPr>
      </w:pPr>
      <w:r>
        <w:rPr>
          <w:rFonts w:hint="eastAsia" w:ascii="Times New Roman" w:hAnsi="Times New Roman" w:eastAsia="方正黑体_GBK"/>
          <w:color w:val="000000"/>
          <w:sz w:val="21"/>
        </w:rPr>
        <w:br w:type="page"/>
      </w:r>
      <w:r>
        <w:rPr>
          <w:rFonts w:hint="eastAsia" w:ascii="Times New Roman" w:hAnsi="Times New Roman" w:eastAsia="方正黑体_GBK"/>
          <w:color w:val="000000"/>
          <w:szCs w:val="32"/>
        </w:rPr>
        <w:t>附件2</w:t>
      </w:r>
    </w:p>
    <w:p w14:paraId="0B195D3A">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ascii="Times New Roman" w:hAnsi="Times New Roman" w:eastAsia="方正小标宋_GBK" w:cs="黑体"/>
          <w:color w:val="000000"/>
          <w:sz w:val="44"/>
          <w:szCs w:val="44"/>
        </w:rPr>
      </w:pPr>
      <w:r>
        <w:rPr>
          <w:rFonts w:hint="eastAsia" w:ascii="Times New Roman" w:hAnsi="Times New Roman" w:eastAsia="方正小标宋_GBK" w:cs="黑体"/>
          <w:color w:val="000000"/>
          <w:sz w:val="44"/>
          <w:szCs w:val="44"/>
        </w:rPr>
        <w:t>企业装备提升项目申报表</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535"/>
      </w:tblGrid>
      <w:tr w14:paraId="33F595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14:paraId="4C4ABBD4">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企业名称</w:t>
            </w:r>
          </w:p>
        </w:tc>
        <w:tc>
          <w:tcPr>
            <w:tcW w:w="7534" w:type="dxa"/>
            <w:noWrap/>
            <w:vAlign w:val="center"/>
          </w:tcPr>
          <w:p w14:paraId="3A39F3FA">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p>
        </w:tc>
      </w:tr>
      <w:tr w14:paraId="6A198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14:paraId="7C6AD81D">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项目名称</w:t>
            </w:r>
          </w:p>
        </w:tc>
        <w:tc>
          <w:tcPr>
            <w:tcW w:w="7534" w:type="dxa"/>
            <w:noWrap/>
            <w:vAlign w:val="center"/>
          </w:tcPr>
          <w:p w14:paraId="6A00EEB1">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p>
        </w:tc>
      </w:tr>
      <w:tr w14:paraId="6C7120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14:paraId="5DBCBF82">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产品名称</w:t>
            </w:r>
          </w:p>
        </w:tc>
        <w:tc>
          <w:tcPr>
            <w:tcW w:w="7534" w:type="dxa"/>
            <w:noWrap/>
            <w:vAlign w:val="center"/>
          </w:tcPr>
          <w:p w14:paraId="7A4906EE">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p>
        </w:tc>
      </w:tr>
      <w:tr w14:paraId="2E33BE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526" w:type="dxa"/>
            <w:noWrap/>
            <w:vAlign w:val="center"/>
          </w:tcPr>
          <w:p w14:paraId="6DE7E302">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申报领域</w:t>
            </w:r>
          </w:p>
        </w:tc>
        <w:tc>
          <w:tcPr>
            <w:tcW w:w="7534" w:type="dxa"/>
            <w:noWrap/>
            <w:vAlign w:val="center"/>
          </w:tcPr>
          <w:p w14:paraId="5AC637A6">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申报领域：</w:t>
            </w:r>
          </w:p>
          <w:p w14:paraId="4EABF91F">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具体范围：</w:t>
            </w:r>
          </w:p>
          <w:p w14:paraId="2AB4E67B">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（备注：严格按照“附件1”领域内容填报）</w:t>
            </w:r>
          </w:p>
        </w:tc>
      </w:tr>
      <w:tr w14:paraId="57E8D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2"/>
            <w:noWrap/>
            <w:vAlign w:val="center"/>
          </w:tcPr>
          <w:p w14:paraId="282CFCD3">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color w:val="000000"/>
                <w:sz w:val="21"/>
                <w:szCs w:val="21"/>
              </w:rPr>
            </w:pPr>
            <w:r>
              <w:rPr>
                <w:rFonts w:hint="eastAsia" w:ascii="Times New Roman" w:hAnsi="Times New Roman" w:eastAsia="方正黑体_GBK" w:cs="方正黑体_GBK"/>
                <w:bCs/>
                <w:color w:val="000000"/>
                <w:sz w:val="21"/>
                <w:szCs w:val="21"/>
              </w:rPr>
              <w:t>项目介绍</w:t>
            </w:r>
          </w:p>
        </w:tc>
      </w:tr>
      <w:tr w14:paraId="2C6A1C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6" w:type="dxa"/>
            <w:noWrap/>
            <w:vAlign w:val="center"/>
          </w:tcPr>
          <w:p w14:paraId="749BBAF9">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color w:val="000000"/>
                <w:sz w:val="21"/>
                <w:szCs w:val="21"/>
              </w:rPr>
            </w:pPr>
            <w:r>
              <w:rPr>
                <w:rFonts w:hint="eastAsia" w:ascii="Times New Roman" w:hAnsi="Times New Roman" w:eastAsia="方正黑体_GBK" w:cs="方正黑体_GBK"/>
                <w:bCs/>
                <w:color w:val="000000"/>
                <w:sz w:val="21"/>
                <w:szCs w:val="21"/>
              </w:rPr>
              <w:t>指标</w:t>
            </w:r>
          </w:p>
        </w:tc>
        <w:tc>
          <w:tcPr>
            <w:tcW w:w="7534" w:type="dxa"/>
            <w:noWrap/>
            <w:vAlign w:val="center"/>
          </w:tcPr>
          <w:p w14:paraId="04C6B599">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黑体_GBK" w:cs="方正黑体_GBK"/>
                <w:bCs/>
                <w:color w:val="000000"/>
                <w:sz w:val="21"/>
                <w:szCs w:val="21"/>
              </w:rPr>
            </w:pPr>
            <w:r>
              <w:rPr>
                <w:rFonts w:hint="eastAsia" w:ascii="Times New Roman" w:hAnsi="Times New Roman" w:eastAsia="方正黑体_GBK" w:cs="方正黑体_GBK"/>
                <w:bCs/>
                <w:color w:val="000000"/>
                <w:sz w:val="21"/>
                <w:szCs w:val="21"/>
              </w:rPr>
              <w:t>具体内容</w:t>
            </w:r>
          </w:p>
        </w:tc>
      </w:tr>
      <w:tr w14:paraId="47038A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14:paraId="488F2C37">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b/>
                <w:color w:val="000000"/>
                <w:sz w:val="21"/>
                <w:szCs w:val="21"/>
              </w:rPr>
            </w:pPr>
            <w:r>
              <w:rPr>
                <w:rFonts w:hint="eastAsia" w:ascii="Times New Roman" w:hAnsi="Times New Roman" w:eastAsia="方正楷体_GBK" w:cs="方正楷体_GBK"/>
                <w:color w:val="000000"/>
                <w:sz w:val="21"/>
                <w:szCs w:val="21"/>
              </w:rPr>
              <w:t>产业层次</w:t>
            </w:r>
          </w:p>
        </w:tc>
        <w:tc>
          <w:tcPr>
            <w:tcW w:w="7534" w:type="dxa"/>
            <w:noWrap/>
            <w:vAlign w:val="center"/>
          </w:tcPr>
          <w:p w14:paraId="611B5A0E">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（详细阐述该项目符合的相应国家、省市产业政策指导目录、产业发展规划，是否属于高技术制造业、高新技术产业，是否符合资金重点扶持领域）</w:t>
            </w:r>
          </w:p>
        </w:tc>
      </w:tr>
      <w:tr w14:paraId="21CBD7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14:paraId="09C75D95">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装备水平</w:t>
            </w:r>
          </w:p>
        </w:tc>
        <w:tc>
          <w:tcPr>
            <w:tcW w:w="7534" w:type="dxa"/>
            <w:noWrap/>
            <w:vAlign w:val="center"/>
          </w:tcPr>
          <w:p w14:paraId="45349516">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（详细阐述项目装备数量、性能等指标，智能装备数量及占比，设备互联互通、生产数字化、管理信息化等情况）</w:t>
            </w:r>
          </w:p>
        </w:tc>
      </w:tr>
      <w:tr w14:paraId="662A2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14:paraId="2D36742A">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技术工艺</w:t>
            </w:r>
          </w:p>
        </w:tc>
        <w:tc>
          <w:tcPr>
            <w:tcW w:w="7534" w:type="dxa"/>
            <w:noWrap/>
            <w:vAlign w:val="center"/>
          </w:tcPr>
          <w:p w14:paraId="2FE7EC5E">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（详细阐述生产技术工艺等指标，以及发明专利、实用专利、知识产权等情况）</w:t>
            </w:r>
          </w:p>
        </w:tc>
      </w:tr>
      <w:tr w14:paraId="560E4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14:paraId="15DC4426">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产品档次</w:t>
            </w:r>
          </w:p>
        </w:tc>
        <w:tc>
          <w:tcPr>
            <w:tcW w:w="7534" w:type="dxa"/>
            <w:noWrap/>
            <w:vAlign w:val="center"/>
          </w:tcPr>
          <w:p w14:paraId="02AA25D4">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（详细阐述产品获得的荣誉、品牌，应用市场，配套客户，行业地位，市场占有率等情况）</w:t>
            </w:r>
          </w:p>
        </w:tc>
      </w:tr>
      <w:tr w14:paraId="716A0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26" w:type="dxa"/>
            <w:noWrap/>
            <w:vAlign w:val="center"/>
          </w:tcPr>
          <w:p w14:paraId="37AC71C2">
            <w:pPr>
              <w:keepNext w:val="0"/>
              <w:keepLines w:val="0"/>
              <w:pageBreakBefore w:val="0"/>
              <w:widowControl w:val="0"/>
              <w:kinsoku/>
              <w:wordWrap/>
              <w:overflowPunct w:val="0"/>
              <w:topLinePunct w:val="0"/>
              <w:autoSpaceDE/>
              <w:autoSpaceDN/>
              <w:bidi w:val="0"/>
              <w:adjustRightInd/>
              <w:snapToGrid/>
              <w:spacing w:line="0" w:lineRule="atLeast"/>
              <w:ind w:firstLine="0" w:firstLineChars="0"/>
              <w:jc w:val="center"/>
              <w:textAlignment w:val="auto"/>
              <w:rPr>
                <w:rFonts w:hint="eastAsia" w:ascii="Times New Roman" w:hAnsi="Times New Roman" w:eastAsia="方正楷体_GBK" w:cs="方正楷体_GBK"/>
                <w:b/>
                <w:color w:val="000000"/>
                <w:sz w:val="21"/>
                <w:szCs w:val="21"/>
              </w:rPr>
            </w:pPr>
            <w:r>
              <w:rPr>
                <w:rFonts w:hint="eastAsia" w:ascii="Times New Roman" w:hAnsi="Times New Roman" w:eastAsia="方正楷体_GBK" w:cs="方正楷体_GBK"/>
                <w:color w:val="000000"/>
                <w:sz w:val="21"/>
                <w:szCs w:val="21"/>
              </w:rPr>
              <w:t>综合效益</w:t>
            </w:r>
          </w:p>
        </w:tc>
        <w:tc>
          <w:tcPr>
            <w:tcW w:w="7534" w:type="dxa"/>
            <w:noWrap/>
            <w:vAlign w:val="center"/>
          </w:tcPr>
          <w:p w14:paraId="1764041A">
            <w:pPr>
              <w:keepNext w:val="0"/>
              <w:keepLines w:val="0"/>
              <w:pageBreakBefore w:val="0"/>
              <w:widowControl w:val="0"/>
              <w:kinsoku/>
              <w:wordWrap/>
              <w:overflowPunct w:val="0"/>
              <w:topLinePunct w:val="0"/>
              <w:autoSpaceDE/>
              <w:autoSpaceDN/>
              <w:bidi w:val="0"/>
              <w:adjustRightInd/>
              <w:snapToGrid/>
              <w:spacing w:line="0" w:lineRule="atLeast"/>
              <w:ind w:firstLine="0" w:firstLineChars="0"/>
              <w:textAlignment w:val="auto"/>
              <w:rPr>
                <w:rFonts w:hint="eastAsia" w:ascii="Times New Roman" w:hAnsi="Times New Roman" w:eastAsia="方正楷体_GBK" w:cs="方正楷体_GBK"/>
                <w:color w:val="000000"/>
                <w:sz w:val="21"/>
                <w:szCs w:val="21"/>
              </w:rPr>
            </w:pPr>
            <w:r>
              <w:rPr>
                <w:rFonts w:hint="eastAsia" w:ascii="Times New Roman" w:hAnsi="Times New Roman" w:eastAsia="方正楷体_GBK" w:cs="方正楷体_GBK"/>
                <w:color w:val="000000"/>
                <w:sz w:val="21"/>
                <w:szCs w:val="21"/>
              </w:rPr>
              <w:t>（企业上年度销售、利税等经济指标情况，项目产品的销售利税、提供就业、产业带动、节能减排等经济社会效益情况）</w:t>
            </w:r>
          </w:p>
        </w:tc>
      </w:tr>
    </w:tbl>
    <w:p w14:paraId="7517844B">
      <w:pPr>
        <w:keepNext w:val="0"/>
        <w:keepLines w:val="0"/>
        <w:pageBreakBefore w:val="0"/>
        <w:widowControl w:val="0"/>
        <w:kinsoku/>
        <w:wordWrap/>
        <w:overflowPunct w:val="0"/>
        <w:topLinePunct w:val="0"/>
        <w:autoSpaceDE/>
        <w:autoSpaceDN/>
        <w:bidi w:val="0"/>
        <w:adjustRightInd/>
        <w:snapToGrid/>
        <w:spacing w:line="240" w:lineRule="auto"/>
        <w:ind w:right="316" w:rightChars="100" w:firstLine="0" w:firstLineChars="0"/>
        <w:textAlignment w:val="auto"/>
        <w:rPr>
          <w:rFonts w:ascii="Times New Roman" w:hAnsi="Times New Roman" w:eastAsia="方正仿宋_GBK" w:cs="方正仿宋_GBK"/>
          <w:color w:val="000000"/>
          <w:szCs w:val="32"/>
        </w:rPr>
      </w:pPr>
    </w:p>
    <w:sectPr>
      <w:footerReference r:id="rId9" w:type="first"/>
      <w:headerReference r:id="rId5" w:type="default"/>
      <w:footerReference r:id="rId7" w:type="default"/>
      <w:headerReference r:id="rId6" w:type="even"/>
      <w:footerReference r:id="rId8" w:type="even"/>
      <w:pgSz w:w="11907" w:h="16840"/>
      <w:pgMar w:top="1928" w:right="1474" w:bottom="1814" w:left="1588" w:header="1134" w:footer="1304" w:gutter="0"/>
      <w:cols w:space="0" w:num="1"/>
      <w:titlePg/>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07EF9FD-2C22-4035-9457-ADA7F06590F1}"/>
  </w:font>
  <w:font w:name="Arial">
    <w:panose1 w:val="020B0604020202020204"/>
    <w:charset w:val="01"/>
    <w:family w:val="swiss"/>
    <w:pitch w:val="default"/>
    <w:sig w:usb0="E0002AFF" w:usb1="C0007843" w:usb2="00000009" w:usb3="00000000" w:csb0="400001FF" w:csb1="FFFF0000"/>
    <w:embedRegular r:id="rId2" w:fontKey="{EC32696B-37EB-4570-870E-B33FD7FF522F}"/>
  </w:font>
  <w:font w:name="黑体">
    <w:panose1 w:val="02010609060101010101"/>
    <w:charset w:val="86"/>
    <w:family w:val="auto"/>
    <w:pitch w:val="default"/>
    <w:sig w:usb0="800002BF" w:usb1="38CF7CFA" w:usb2="00000016" w:usb3="00000000" w:csb0="00040001" w:csb1="00000000"/>
    <w:embedRegular r:id="rId3" w:fontKey="{1F94C66F-5AC8-49B5-8CBB-3CF812504BB3}"/>
  </w:font>
  <w:font w:name="Courier New">
    <w:panose1 w:val="02070309020205020404"/>
    <w:charset w:val="01"/>
    <w:family w:val="modern"/>
    <w:pitch w:val="default"/>
    <w:sig w:usb0="E0002AFF" w:usb1="C0007843" w:usb2="00000009" w:usb3="00000000" w:csb0="400001FF" w:csb1="FFFF0000"/>
    <w:embedRegular r:id="rId4" w:fontKey="{0FBBB450-B13E-482E-AD61-D51A53E661CB}"/>
  </w:font>
  <w:font w:name="Symbol">
    <w:panose1 w:val="05050102010706020507"/>
    <w:charset w:val="02"/>
    <w:family w:val="roman"/>
    <w:pitch w:val="default"/>
    <w:sig w:usb0="00000000" w:usb1="00000000" w:usb2="00000000" w:usb3="00000000" w:csb0="80000000" w:csb1="00000000"/>
    <w:embedRegular r:id="rId5" w:fontKey="{B21D1DBA-8ED1-45DF-9AA1-B0D1D539A33F}"/>
  </w:font>
  <w:font w:name="Calibri">
    <w:panose1 w:val="020F0502020204030204"/>
    <w:charset w:val="00"/>
    <w:family w:val="swiss"/>
    <w:pitch w:val="default"/>
    <w:sig w:usb0="E00002FF" w:usb1="4000ACFF" w:usb2="00000001" w:usb3="00000000" w:csb0="2000019F" w:csb1="00000000"/>
    <w:embedRegular r:id="rId6" w:fontKey="{34395EF0-6E9A-416E-8733-A1D593E3535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7" w:fontKey="{24C18A9D-27D9-4FEA-B572-BB667F993445}"/>
  </w:font>
  <w:font w:name="方正仿宋_GBK">
    <w:panose1 w:val="03000509000000000000"/>
    <w:charset w:val="86"/>
    <w:family w:val="script"/>
    <w:pitch w:val="default"/>
    <w:sig w:usb0="00000001" w:usb1="080E0000" w:usb2="00000000" w:usb3="00000000" w:csb0="00040000" w:csb1="00000000"/>
    <w:embedRegular r:id="rId8" w:fontKey="{163D9778-C42B-4098-9514-FF3EFA92DC29}"/>
  </w:font>
  <w:font w:name="方正小标宋简体">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9" w:fontKey="{F965F108-7AA7-481E-9A0D-88E12DFC2821}"/>
  </w:font>
  <w:font w:name="方正楷体_GBK">
    <w:panose1 w:val="03000509000000000000"/>
    <w:charset w:val="86"/>
    <w:family w:val="script"/>
    <w:pitch w:val="default"/>
    <w:sig w:usb0="00000001" w:usb1="080E0000" w:usb2="00000000" w:usb3="00000000" w:csb0="00040000" w:csb1="00000000"/>
    <w:embedRegular r:id="rId10" w:fontKey="{46A9D97C-0196-4B1D-BB4F-A41062B3C63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841C9">
    <w:pPr>
      <w:pStyle w:val="9"/>
      <w:snapToGrid/>
      <w:ind w:left="320" w:leftChars="100" w:right="320" w:rightChars="100" w:firstLine="0" w:firstLineChars="0"/>
      <w:jc w:val="right"/>
    </w:pPr>
    <w:r>
      <w:rPr>
        <w:rFonts w:hint="eastAsia" w:ascii="宋体"/>
        <w:sz w:val="28"/>
        <w:szCs w:val="28"/>
        <w:lang w:val="zh-CN"/>
      </w:rPr>
      <w:t xml:space="preserve">— </w:t>
    </w:r>
    <w:r>
      <w:rPr>
        <w:rFonts w:hint="eastAsia" w:ascii="宋体"/>
        <w:sz w:val="28"/>
        <w:szCs w:val="28"/>
      </w:rPr>
      <w:fldChar w:fldCharType="begin"/>
    </w:r>
    <w:r>
      <w:rPr>
        <w:rFonts w:hint="eastAsia" w:ascii="宋体"/>
        <w:sz w:val="28"/>
        <w:szCs w:val="28"/>
      </w:rPr>
      <w:instrText xml:space="preserve"> PAGE    \* MERGEFORMAT </w:instrText>
    </w:r>
    <w:r>
      <w:rPr>
        <w:rFonts w:hint="eastAsia" w:ascii="宋体"/>
        <w:sz w:val="28"/>
        <w:szCs w:val="28"/>
      </w:rPr>
      <w:fldChar w:fldCharType="separate"/>
    </w:r>
    <w:r>
      <w:rPr>
        <w:rFonts w:ascii="宋体"/>
        <w:sz w:val="28"/>
        <w:szCs w:val="28"/>
        <w:lang w:val="zh-CN"/>
      </w:rPr>
      <w:t>5</w:t>
    </w:r>
    <w:r>
      <w:rPr>
        <w:rFonts w:hint="eastAsia" w:ascii="宋体"/>
        <w:sz w:val="28"/>
        <w:szCs w:val="28"/>
      </w:rPr>
      <w:fldChar w:fldCharType="end"/>
    </w:r>
    <w:r>
      <w:rPr>
        <w:rFonts w:hint="eastAsia" w:ascii="宋体"/>
        <w:sz w:val="28"/>
        <w:szCs w:val="28"/>
        <w:lang w:val="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95F58">
    <w:pPr>
      <w:pStyle w:val="9"/>
      <w:snapToGrid/>
      <w:ind w:left="320" w:leftChars="100" w:right="320" w:rightChars="100" w:firstLine="0" w:firstLineChars="0"/>
    </w:pPr>
    <w:r>
      <w:rPr>
        <w:rFonts w:hint="eastAsia" w:ascii="宋体"/>
        <w:sz w:val="28"/>
        <w:szCs w:val="28"/>
        <w:lang w:val="zh-CN"/>
      </w:rPr>
      <w:t xml:space="preserve">— </w:t>
    </w:r>
    <w:r>
      <w:rPr>
        <w:rFonts w:hint="eastAsia" w:ascii="宋体"/>
        <w:sz w:val="28"/>
        <w:szCs w:val="28"/>
      </w:rPr>
      <w:fldChar w:fldCharType="begin"/>
    </w:r>
    <w:r>
      <w:rPr>
        <w:rFonts w:hint="eastAsia" w:ascii="宋体"/>
        <w:sz w:val="28"/>
        <w:szCs w:val="28"/>
      </w:rPr>
      <w:instrText xml:space="preserve"> PAGE    \* MERGEFORMAT </w:instrText>
    </w:r>
    <w:r>
      <w:rPr>
        <w:rFonts w:hint="eastAsia" w:ascii="宋体"/>
        <w:sz w:val="28"/>
        <w:szCs w:val="28"/>
      </w:rPr>
      <w:fldChar w:fldCharType="separate"/>
    </w:r>
    <w:r>
      <w:rPr>
        <w:rFonts w:ascii="宋体"/>
        <w:sz w:val="28"/>
        <w:szCs w:val="28"/>
        <w:lang w:val="zh-CN"/>
      </w:rPr>
      <w:t>6</w:t>
    </w:r>
    <w:r>
      <w:rPr>
        <w:rFonts w:hint="eastAsia" w:ascii="宋体"/>
        <w:sz w:val="28"/>
        <w:szCs w:val="28"/>
      </w:rPr>
      <w:fldChar w:fldCharType="end"/>
    </w:r>
    <w:r>
      <w:rPr>
        <w:rFonts w:hint="eastAsia" w:ascii="宋体"/>
        <w:sz w:val="28"/>
        <w:szCs w:val="28"/>
        <w:lang w:val="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AE349">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32"/>
      </w:pPr>
      <w:r>
        <w:separator/>
      </w:r>
    </w:p>
  </w:footnote>
  <w:footnote w:type="continuationSeparator" w:id="1">
    <w:p>
      <w:pPr>
        <w:spacing w:line="36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E6F2A">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B0C13">
    <w:pPr>
      <w:pStyle w:val="10"/>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2ODFmOTc4YzUzZWRlNmM2NDA2ZWRhZjUwMTUzZmUifQ=="/>
  </w:docVars>
  <w:rsids>
    <w:rsidRoot w:val="00B8251F"/>
    <w:rsid w:val="0032689A"/>
    <w:rsid w:val="00403109"/>
    <w:rsid w:val="004618AD"/>
    <w:rsid w:val="0061449F"/>
    <w:rsid w:val="0073596F"/>
    <w:rsid w:val="007657B1"/>
    <w:rsid w:val="008230E6"/>
    <w:rsid w:val="00841AD5"/>
    <w:rsid w:val="008442D0"/>
    <w:rsid w:val="00912F01"/>
    <w:rsid w:val="00945888"/>
    <w:rsid w:val="00B14189"/>
    <w:rsid w:val="00B8251F"/>
    <w:rsid w:val="00B940BD"/>
    <w:rsid w:val="00D50ADC"/>
    <w:rsid w:val="00D52614"/>
    <w:rsid w:val="00DA3BA1"/>
    <w:rsid w:val="00DA491E"/>
    <w:rsid w:val="00DC3FAC"/>
    <w:rsid w:val="00E55851"/>
    <w:rsid w:val="00E72189"/>
    <w:rsid w:val="00E97E96"/>
    <w:rsid w:val="00F4135B"/>
    <w:rsid w:val="00FF713F"/>
    <w:rsid w:val="01FD4F03"/>
    <w:rsid w:val="07C76524"/>
    <w:rsid w:val="08FB7AB7"/>
    <w:rsid w:val="0A3050AC"/>
    <w:rsid w:val="124C221A"/>
    <w:rsid w:val="18911017"/>
    <w:rsid w:val="1D15375C"/>
    <w:rsid w:val="1EAE0F0D"/>
    <w:rsid w:val="21FB6279"/>
    <w:rsid w:val="2305284D"/>
    <w:rsid w:val="29093049"/>
    <w:rsid w:val="2AAF519F"/>
    <w:rsid w:val="32917669"/>
    <w:rsid w:val="46D86457"/>
    <w:rsid w:val="47A833CD"/>
    <w:rsid w:val="4DDB222A"/>
    <w:rsid w:val="51B43BCB"/>
    <w:rsid w:val="51BA5436"/>
    <w:rsid w:val="549934E7"/>
    <w:rsid w:val="55330CE3"/>
    <w:rsid w:val="588D4628"/>
    <w:rsid w:val="59B54439"/>
    <w:rsid w:val="5D3662D9"/>
    <w:rsid w:val="5DEB3645"/>
    <w:rsid w:val="5E752DBC"/>
    <w:rsid w:val="60465C2A"/>
    <w:rsid w:val="60C438BE"/>
    <w:rsid w:val="6674631F"/>
    <w:rsid w:val="694A5E91"/>
    <w:rsid w:val="697603DE"/>
    <w:rsid w:val="75630FEC"/>
    <w:rsid w:val="76C61A2C"/>
    <w:rsid w:val="78CE3B09"/>
    <w:rsid w:val="792A7BB4"/>
    <w:rsid w:val="7AF93846"/>
    <w:rsid w:val="7D2F7A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rPr>
  </w:style>
  <w:style w:type="paragraph" w:styleId="4">
    <w:name w:val="heading 3"/>
    <w:basedOn w:val="1"/>
    <w:next w:val="1"/>
    <w:qFormat/>
    <w:uiPriority w:val="0"/>
    <w:pPr>
      <w:keepNext/>
      <w:keepLines/>
      <w:spacing w:before="260" w:after="260" w:line="415" w:lineRule="auto"/>
      <w:outlineLvl w:val="2"/>
    </w:pPr>
    <w:rPr>
      <w:b/>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style>
  <w:style w:type="paragraph" w:styleId="6">
    <w:name w:val="annotation text"/>
    <w:basedOn w:val="1"/>
    <w:qFormat/>
    <w:uiPriority w:val="0"/>
    <w:pPr>
      <w:jc w:val="left"/>
    </w:pPr>
  </w:style>
  <w:style w:type="paragraph" w:styleId="7">
    <w:name w:val="Body Text"/>
    <w:basedOn w:val="1"/>
    <w:qFormat/>
    <w:uiPriority w:val="0"/>
    <w:pPr>
      <w:spacing w:after="120" w:line="240" w:lineRule="auto"/>
      <w:ind w:firstLine="0" w:firstLineChars="0"/>
    </w:pPr>
    <w:rPr>
      <w:rFonts w:ascii="Calibri" w:hAnsi="Calibri" w:eastAsia="仿宋_GB2312"/>
      <w:szCs w:val="22"/>
    </w:rPr>
  </w:style>
  <w:style w:type="paragraph" w:styleId="8">
    <w:name w:val="Date"/>
    <w:basedOn w:val="1"/>
    <w:next w:val="1"/>
    <w:qFormat/>
    <w:uiPriority w:val="0"/>
    <w:pPr>
      <w:spacing w:line="240" w:lineRule="auto"/>
      <w:ind w:left="2500" w:leftChars="2500" w:firstLine="0" w:firstLineChars="0"/>
    </w:pPr>
    <w:rPr>
      <w:rFonts w:ascii="Times New Roman" w:hAnsi="Times New Roman"/>
    </w:rPr>
  </w:style>
  <w:style w:type="paragraph" w:styleId="9">
    <w:name w:val="footer"/>
    <w:basedOn w:val="1"/>
    <w:qFormat/>
    <w:uiPriority w:val="0"/>
    <w:pPr>
      <w:tabs>
        <w:tab w:val="center" w:pos="4153"/>
        <w:tab w:val="right" w:pos="8306"/>
      </w:tabs>
      <w:snapToGrid w:val="0"/>
      <w:spacing w:line="240" w:lineRule="auto"/>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Body Text 2"/>
    <w:basedOn w:val="1"/>
    <w:qFormat/>
    <w:uiPriority w:val="0"/>
    <w:pPr>
      <w:spacing w:after="120" w:line="480" w:lineRule="auto"/>
    </w:pPr>
    <w:rPr>
      <w:sz w:val="21"/>
    </w:rPr>
  </w:style>
  <w:style w:type="paragraph" w:styleId="12">
    <w:name w:val="Normal (Web)"/>
    <w:basedOn w:val="1"/>
    <w:qFormat/>
    <w:uiPriority w:val="0"/>
    <w:pPr>
      <w:widowControl/>
      <w:spacing w:before="100" w:beforeAutospacing="1" w:after="100" w:afterAutospacing="1"/>
      <w:jc w:val="left"/>
    </w:pPr>
    <w:rPr>
      <w:rFonts w:ascii="仿宋_GB2312" w:hAnsi="仿宋_GB2312"/>
      <w:color w:val="000000"/>
      <w:kern w:val="0"/>
    </w:rPr>
  </w:style>
  <w:style w:type="character" w:styleId="15">
    <w:name w:val="Hyperlink"/>
    <w:basedOn w:val="14"/>
    <w:qFormat/>
    <w:uiPriority w:val="0"/>
    <w:rPr>
      <w:color w:val="0563C1"/>
      <w:u w:val="single"/>
    </w:rPr>
  </w:style>
  <w:style w:type="paragraph" w:customStyle="1" w:styleId="16">
    <w:name w:val="Body text|1"/>
    <w:basedOn w:val="1"/>
    <w:qFormat/>
    <w:uiPriority w:val="0"/>
    <w:pPr>
      <w:spacing w:line="406" w:lineRule="auto"/>
    </w:pPr>
    <w:rPr>
      <w:rFonts w:ascii="宋体" w:cs="宋体"/>
      <w:sz w:val="30"/>
      <w:szCs w:val="30"/>
      <w:lang w:val="zh-TW" w:eastAsia="zh-TW" w:bidi="zh-TW"/>
    </w:rPr>
  </w:style>
  <w:style w:type="character" w:customStyle="1" w:styleId="17">
    <w:name w:val="日期 Char1"/>
    <w:basedOn w:val="14"/>
    <w:qFormat/>
    <w:uiPriority w:val="0"/>
    <w:rPr>
      <w:rFonts w:ascii="Arial" w:hAnsi="Arial"/>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2340</Words>
  <Characters>2503</Characters>
  <Lines>34</Lines>
  <Paragraphs>9</Paragraphs>
  <TotalTime>9</TotalTime>
  <ScaleCrop>false</ScaleCrop>
  <LinksUpToDate>false</LinksUpToDate>
  <CharactersWithSpaces>2506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2025-07-17T09:29:00Z</dcterms:created>
  <dc:creator>吕小承</dc:creator>
  <cp:lastModifiedBy>Ly-drizzle</cp:lastModifiedBy>
  <cp:lastPrinted>2024-05-08T09:29:00Z</cp:lastPrinted>
  <dcterms:modified xsi:type="dcterms:W3CDTF">2025-07-22T01:25:42Z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7A5E917CCAF34B0483BA0CF283D0A950_13</vt:lpwstr>
  </property>
  <property fmtid="{D5CDD505-2E9C-101B-9397-08002B2CF9AE}" pid="4" name="KSOSaveFontToCloudKey">
    <vt:lpwstr>1038465912_embed</vt:lpwstr>
  </property>
  <property fmtid="{D5CDD505-2E9C-101B-9397-08002B2CF9AE}" pid="5" name="KSOTemplateDocerSaveRecord">
    <vt:lpwstr>eyJoZGlkIjoiN2EwZTM0YTFkNTRmN2FlODExZTQxODNjMWY0NDVkZGQiLCJ1c2VySWQiOiIzNTYwNDYzNjIifQ==</vt:lpwstr>
  </property>
</Properties>
</file>